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7A0" w:rsidRDefault="00F1385A">
      <w:pPr>
        <w:pStyle w:val="Heading2"/>
        <w:contextualSpacing w:val="0"/>
      </w:pPr>
      <w:bookmarkStart w:id="0" w:name="_8j86777uswzs" w:colFirst="0" w:colLast="0"/>
      <w:bookmarkEnd w:id="0"/>
      <w:r>
        <w:t xml:space="preserve">BBQ Discussion Topics  (Summer </w:t>
      </w:r>
      <w:bookmarkStart w:id="1" w:name="_GoBack"/>
      <w:bookmarkEnd w:id="1"/>
      <w:r>
        <w:t>2017)</w:t>
      </w:r>
    </w:p>
    <w:p w:rsidR="003B07A0" w:rsidRDefault="003B07A0"/>
    <w:tbl>
      <w:tblPr>
        <w:tblStyle w:val="a"/>
        <w:tblW w:w="9000" w:type="dxa"/>
        <w:jc w:val="center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5730"/>
        <w:gridCol w:w="2040"/>
      </w:tblGrid>
      <w:tr w:rsidR="003B07A0">
        <w:trPr>
          <w:jc w:val="center"/>
        </w:trPr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Co-facilitators</w:t>
            </w:r>
          </w:p>
        </w:tc>
      </w:tr>
      <w:tr w:rsidR="003B07A0">
        <w:trPr>
          <w:jc w:val="center"/>
        </w:trPr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25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values do we really share?</w:t>
            </w:r>
          </w:p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we live them out in our lives?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Marylander</w:t>
            </w:r>
          </w:p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Stewart Walker</w:t>
            </w:r>
          </w:p>
        </w:tc>
      </w:tr>
      <w:tr w:rsidR="003B07A0">
        <w:trPr>
          <w:jc w:val="center"/>
        </w:trPr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23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Spirituality, Testimonies and Political and Social Activism</w:t>
            </w:r>
          </w:p>
          <w:p w:rsidR="003B07A0" w:rsidRDefault="00F1385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focus?</w:t>
            </w:r>
          </w:p>
          <w:p w:rsidR="003B07A0" w:rsidRDefault="00F1385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 we bump up against each other?  </w:t>
            </w:r>
          </w:p>
          <w:p w:rsidR="003B07A0" w:rsidRDefault="00F1385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deal with it when we bump up against each other?</w:t>
            </w:r>
          </w:p>
          <w:p w:rsidR="003B07A0" w:rsidRDefault="00F1385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like from others when we bump up against each other?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Gale </w:t>
            </w:r>
            <w:proofErr w:type="spellStart"/>
            <w:r>
              <w:rPr>
                <w:sz w:val="22"/>
                <w:szCs w:val="22"/>
              </w:rPr>
              <w:t>Toko</w:t>
            </w:r>
            <w:proofErr w:type="spellEnd"/>
            <w:r>
              <w:rPr>
                <w:sz w:val="22"/>
                <w:szCs w:val="22"/>
              </w:rPr>
              <w:t>-Ross</w:t>
            </w:r>
          </w:p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Stewart Walker</w:t>
            </w:r>
          </w:p>
        </w:tc>
      </w:tr>
      <w:tr w:rsidR="003B07A0">
        <w:trPr>
          <w:jc w:val="center"/>
        </w:trPr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Boundaries of Political &amp;</w:t>
            </w:r>
            <w:r>
              <w:rPr>
                <w:sz w:val="22"/>
                <w:szCs w:val="22"/>
              </w:rPr>
              <w:t xml:space="preserve"> Activist Expression in BFM</w:t>
            </w:r>
          </w:p>
          <w:p w:rsidR="003B07A0" w:rsidRDefault="00F1385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What’s okay to express? </w:t>
            </w:r>
          </w:p>
          <w:p w:rsidR="003B07A0" w:rsidRDefault="00F1385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&amp; where? </w:t>
            </w:r>
          </w:p>
          <w:p w:rsidR="003B07A0" w:rsidRDefault="00F1385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not okay?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Elaine Yarbrough</w:t>
            </w:r>
          </w:p>
          <w:p w:rsidR="003B07A0" w:rsidRDefault="00F1385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Stewart Walker</w:t>
            </w:r>
          </w:p>
          <w:p w:rsidR="003B07A0" w:rsidRDefault="003B07A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B07A0" w:rsidRDefault="003B07A0"/>
    <w:p w:rsidR="003B07A0" w:rsidRDefault="003B07A0"/>
    <w:p w:rsidR="003B07A0" w:rsidRDefault="00F1385A">
      <w:pPr>
        <w:rPr>
          <w:sz w:val="22"/>
          <w:szCs w:val="22"/>
        </w:rPr>
      </w:pPr>
      <w:r>
        <w:rPr>
          <w:sz w:val="22"/>
          <w:szCs w:val="22"/>
        </w:rPr>
        <w:t>Parker Palmer:</w:t>
      </w:r>
    </w:p>
    <w:p w:rsidR="003B07A0" w:rsidRDefault="003B07A0">
      <w:pPr>
        <w:rPr>
          <w:sz w:val="22"/>
          <w:szCs w:val="22"/>
        </w:rPr>
      </w:pPr>
    </w:p>
    <w:p w:rsidR="003B07A0" w:rsidRDefault="00F1385A">
      <w:pPr>
        <w:rPr>
          <w:sz w:val="22"/>
          <w:szCs w:val="22"/>
        </w:rPr>
      </w:pPr>
      <w:r>
        <w:rPr>
          <w:sz w:val="22"/>
          <w:szCs w:val="22"/>
        </w:rPr>
        <w:t xml:space="preserve">“Living in the equality testimony does not begin with the external markers of diversity. I lost count of the number times I’ve been called by a pastor to help his or her “homogenous white congregation” become more diverse. I always answer: ‘No, I won’t do </w:t>
      </w:r>
      <w:r>
        <w:rPr>
          <w:sz w:val="22"/>
          <w:szCs w:val="22"/>
        </w:rPr>
        <w:t xml:space="preserve">that.’ When they ask me why, I explain there’s no such thing as a homogenous white congregation. There’s only a bunch of white people pretending they have no differences among them, for fear that bringing them to the surface would blow the whole thing up. </w:t>
      </w:r>
      <w:r>
        <w:rPr>
          <w:sz w:val="22"/>
          <w:szCs w:val="22"/>
        </w:rPr>
        <w:t xml:space="preserve">So, if you can’t deal with your own </w:t>
      </w:r>
      <w:proofErr w:type="spellStart"/>
      <w:r>
        <w:rPr>
          <w:sz w:val="22"/>
          <w:szCs w:val="22"/>
        </w:rPr>
        <w:t>invisable</w:t>
      </w:r>
      <w:proofErr w:type="spellEnd"/>
      <w:r>
        <w:rPr>
          <w:sz w:val="22"/>
          <w:szCs w:val="22"/>
        </w:rPr>
        <w:t xml:space="preserve"> internal differences, why on earth would someone with a visible difference want to join you? If you’re willing to fess up to that, I am willing to work with you.”</w:t>
      </w:r>
    </w:p>
    <w:p w:rsidR="003B07A0" w:rsidRDefault="00F1385A">
      <w:pPr>
        <w:jc w:val="right"/>
        <w:rPr>
          <w:sz w:val="22"/>
          <w:szCs w:val="22"/>
        </w:rPr>
      </w:pPr>
      <w:r>
        <w:rPr>
          <w:sz w:val="22"/>
          <w:szCs w:val="22"/>
        </w:rPr>
        <w:t>2015 FGC Gathering</w:t>
      </w:r>
    </w:p>
    <w:p w:rsidR="003B07A0" w:rsidRDefault="003B07A0">
      <w:pPr>
        <w:rPr>
          <w:sz w:val="22"/>
          <w:szCs w:val="22"/>
        </w:rPr>
      </w:pPr>
    </w:p>
    <w:sectPr w:rsidR="003B07A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382"/>
    <w:multiLevelType w:val="multilevel"/>
    <w:tmpl w:val="8BB88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8D01C8B"/>
    <w:multiLevelType w:val="multilevel"/>
    <w:tmpl w:val="5896F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07A0"/>
    <w:rsid w:val="003B07A0"/>
    <w:rsid w:val="00F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Downton</cp:lastModifiedBy>
  <cp:revision>2</cp:revision>
  <dcterms:created xsi:type="dcterms:W3CDTF">2017-05-08T16:58:00Z</dcterms:created>
  <dcterms:modified xsi:type="dcterms:W3CDTF">2017-05-08T16:58:00Z</dcterms:modified>
</cp:coreProperties>
</file>