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2D" w:rsidRDefault="007E3C2D" w:rsidP="007E3C2D">
      <w:pPr>
        <w:spacing w:before="250" w:line="276" w:lineRule="auto"/>
        <w:ind w:left="686" w:right="668"/>
        <w:jc w:val="center"/>
        <w:rPr>
          <w:rFonts w:ascii="Cambria"/>
          <w:sz w:val="36"/>
        </w:rPr>
      </w:pPr>
      <w:bookmarkStart w:id="0" w:name="_GoBack"/>
      <w:bookmarkEnd w:id="0"/>
    </w:p>
    <w:p w:rsidR="004F2B23" w:rsidRPr="007E3C2D" w:rsidRDefault="007E3C2D" w:rsidP="007E3C2D">
      <w:pPr>
        <w:spacing w:before="250" w:line="276" w:lineRule="auto"/>
        <w:ind w:right="-20"/>
        <w:jc w:val="center"/>
        <w:rPr>
          <w:rFonts w:ascii="Cambria" w:eastAsia="Cambria" w:hAnsi="Cambria" w:cs="Cambria"/>
          <w:color w:val="1F497D" w:themeColor="text2"/>
          <w:sz w:val="32"/>
          <w:szCs w:val="32"/>
        </w:rPr>
      </w:pPr>
      <w:r>
        <w:rPr>
          <w:rFonts w:ascii="Cambria"/>
          <w:color w:val="1F497D" w:themeColor="text2"/>
          <w:sz w:val="32"/>
          <w:szCs w:val="32"/>
        </w:rPr>
        <w:br/>
      </w:r>
      <w:r w:rsidR="0000363D" w:rsidRPr="007E3C2D">
        <w:rPr>
          <w:rFonts w:ascii="Cambria"/>
          <w:color w:val="1F497D" w:themeColor="text2"/>
          <w:sz w:val="32"/>
          <w:szCs w:val="32"/>
        </w:rPr>
        <w:t xml:space="preserve">The Role of Christian Churches in the </w:t>
      </w:r>
      <w:r w:rsidR="001B72A4" w:rsidRPr="007E3C2D">
        <w:rPr>
          <w:rFonts w:ascii="Cambria"/>
          <w:color w:val="1F497D" w:themeColor="text2"/>
          <w:sz w:val="32"/>
          <w:szCs w:val="32"/>
        </w:rPr>
        <w:t>Devastating</w:t>
      </w:r>
      <w:r w:rsidR="0000363D" w:rsidRPr="007E3C2D">
        <w:rPr>
          <w:rFonts w:ascii="Cambria"/>
          <w:color w:val="1F497D" w:themeColor="text2"/>
          <w:sz w:val="32"/>
          <w:szCs w:val="32"/>
        </w:rPr>
        <w:t xml:space="preserve"> Legacy</w:t>
      </w:r>
      <w:r w:rsidR="0000363D" w:rsidRPr="007E3C2D">
        <w:rPr>
          <w:rFonts w:ascii="Cambria"/>
          <w:color w:val="1F497D" w:themeColor="text2"/>
          <w:spacing w:val="-20"/>
          <w:sz w:val="32"/>
          <w:szCs w:val="32"/>
        </w:rPr>
        <w:t xml:space="preserve"> </w:t>
      </w:r>
      <w:r w:rsidR="0000363D" w:rsidRPr="007E3C2D">
        <w:rPr>
          <w:rFonts w:ascii="Cambria"/>
          <w:color w:val="1F497D" w:themeColor="text2"/>
          <w:sz w:val="32"/>
          <w:szCs w:val="32"/>
        </w:rPr>
        <w:t>of Indian Boarding</w:t>
      </w:r>
      <w:r w:rsidR="0000363D" w:rsidRPr="007E3C2D">
        <w:rPr>
          <w:rFonts w:ascii="Cambria"/>
          <w:color w:val="1F497D" w:themeColor="text2"/>
          <w:spacing w:val="-10"/>
          <w:sz w:val="32"/>
          <w:szCs w:val="32"/>
        </w:rPr>
        <w:t xml:space="preserve"> </w:t>
      </w:r>
      <w:r w:rsidR="0000363D" w:rsidRPr="007E3C2D">
        <w:rPr>
          <w:rFonts w:ascii="Cambria"/>
          <w:color w:val="1F497D" w:themeColor="text2"/>
          <w:sz w:val="32"/>
          <w:szCs w:val="32"/>
        </w:rPr>
        <w:t>Schools</w:t>
      </w:r>
      <w:r w:rsidRPr="007E3C2D">
        <w:rPr>
          <w:rFonts w:ascii="Cambria"/>
          <w:color w:val="1F497D" w:themeColor="text2"/>
          <w:sz w:val="32"/>
          <w:szCs w:val="32"/>
        </w:rPr>
        <w:t xml:space="preserve">: </w:t>
      </w:r>
      <w:r w:rsidRPr="007E3C2D">
        <w:rPr>
          <w:rFonts w:ascii="Cambria"/>
          <w:i/>
          <w:color w:val="1F497D" w:themeColor="text2"/>
          <w:sz w:val="32"/>
          <w:szCs w:val="32"/>
        </w:rPr>
        <w:t>An Invitation to Heal a Broken Place in our Shared History</w:t>
      </w:r>
    </w:p>
    <w:p w:rsidR="004F2B23" w:rsidRDefault="0000363D">
      <w:pPr>
        <w:pStyle w:val="BodyText"/>
        <w:spacing w:before="197" w:line="242" w:lineRule="auto"/>
        <w:ind w:right="99"/>
      </w:pPr>
      <w:r>
        <w:t xml:space="preserve">During the 19th and into the 20th century, Native American children </w:t>
      </w:r>
      <w:r w:rsidR="00102817">
        <w:t>were forced or pressured</w:t>
      </w:r>
      <w:r>
        <w:t xml:space="preserve"> to attend Christian and government-run boardi</w:t>
      </w:r>
      <w:r w:rsidR="001B72A4">
        <w:t>ng schools</w:t>
      </w:r>
      <w:r w:rsidR="00102817">
        <w:t xml:space="preserve"> or day schools</w:t>
      </w:r>
      <w:r w:rsidR="001B72A4">
        <w:t xml:space="preserve">. The purpose was to </w:t>
      </w:r>
      <w:r w:rsidR="007E3C2D">
        <w:t>“kill the Indian and save the man</w:t>
      </w:r>
      <w:r>
        <w:t>.</w:t>
      </w:r>
      <w:r w:rsidR="007E3C2D">
        <w:t>”</w:t>
      </w:r>
    </w:p>
    <w:p w:rsidR="004F2B23" w:rsidRDefault="0000363D" w:rsidP="001B72A4">
      <w:pPr>
        <w:pStyle w:val="BodyText"/>
        <w:spacing w:before="194"/>
        <w:ind w:right="226"/>
      </w:pPr>
      <w:r>
        <w:t xml:space="preserve">The churches may have taken on this mission with the best of intentions, given their shared beliefs at the time. But in fact, the schools carried out a deliberate policy of ethnocide and cultural genocide. </w:t>
      </w:r>
      <w:r w:rsidR="00102817">
        <w:t>C</w:t>
      </w:r>
      <w:r>
        <w:t>hildren were punished for speaking their native languages, banned from conducting traditional or cultural practices, shorn of traditional clothing and i</w:t>
      </w:r>
      <w:r w:rsidR="00102817">
        <w:t>dentity of their native culture. Many were sent far from their homelands and cut off from their family. Most were</w:t>
      </w:r>
      <w:r>
        <w:t xml:space="preserve"> taught that their culture and traditions were evil and sinful, and taught that they should be ashamed of being</w:t>
      </w:r>
      <w:r>
        <w:rPr>
          <w:spacing w:val="-26"/>
        </w:rPr>
        <w:t xml:space="preserve"> </w:t>
      </w:r>
      <w:r>
        <w:t>Native</w:t>
      </w:r>
      <w:r w:rsidR="001B72A4">
        <w:t xml:space="preserve"> </w:t>
      </w:r>
      <w:r>
        <w:t xml:space="preserve">American. </w:t>
      </w:r>
      <w:r w:rsidR="00102817">
        <w:t xml:space="preserve">Countless children </w:t>
      </w:r>
      <w:r>
        <w:t xml:space="preserve">were frequently neglected </w:t>
      </w:r>
      <w:r w:rsidR="00102817">
        <w:t>and even</w:t>
      </w:r>
      <w:r>
        <w:t xml:space="preserve"> abused physically, sexually</w:t>
      </w:r>
      <w:r w:rsidR="001B72A4">
        <w:t>,</w:t>
      </w:r>
      <w:r>
        <w:t xml:space="preserve"> and</w:t>
      </w:r>
      <w:r>
        <w:rPr>
          <w:spacing w:val="-3"/>
        </w:rPr>
        <w:t xml:space="preserve"> </w:t>
      </w:r>
      <w:r>
        <w:t>psychologically.</w:t>
      </w:r>
    </w:p>
    <w:p w:rsidR="004F2B23" w:rsidRDefault="007E3C2D" w:rsidP="007E3C2D">
      <w:pPr>
        <w:tabs>
          <w:tab w:val="left" w:pos="6624"/>
        </w:tabs>
        <w:spacing w:before="4"/>
        <w:rPr>
          <w:rFonts w:ascii="Calibri" w:eastAsia="Calibri" w:hAnsi="Calibri" w:cs="Calibri"/>
          <w:sz w:val="16"/>
          <w:szCs w:val="16"/>
        </w:rPr>
      </w:pPr>
      <w:r>
        <w:rPr>
          <w:rFonts w:ascii="Calibri" w:eastAsia="Calibri" w:hAnsi="Calibri" w:cs="Calibri"/>
          <w:sz w:val="16"/>
          <w:szCs w:val="16"/>
        </w:rPr>
        <w:tab/>
      </w:r>
    </w:p>
    <w:p w:rsidR="004F2B23" w:rsidRPr="001B72A4" w:rsidRDefault="0000363D">
      <w:pPr>
        <w:pStyle w:val="Heading1"/>
        <w:ind w:right="99"/>
        <w:rPr>
          <w:b w:val="0"/>
          <w:bCs w:val="0"/>
          <w:color w:val="4F81BD" w:themeColor="accent1"/>
          <w:u w:color="1F497D" w:themeColor="text2"/>
        </w:rPr>
      </w:pPr>
      <w:r w:rsidRPr="001B72A4">
        <w:rPr>
          <w:color w:val="4F81BD" w:themeColor="accent1"/>
          <w:u w:val="single" w:color="1F497D" w:themeColor="text2"/>
        </w:rPr>
        <w:t>A Lasting Legacy of Shame and</w:t>
      </w:r>
      <w:r w:rsidRPr="001B72A4">
        <w:rPr>
          <w:color w:val="4F81BD" w:themeColor="accent1"/>
          <w:spacing w:val="-13"/>
          <w:u w:val="single" w:color="1F497D" w:themeColor="text2"/>
        </w:rPr>
        <w:t xml:space="preserve"> </w:t>
      </w:r>
      <w:r w:rsidRPr="001B72A4">
        <w:rPr>
          <w:color w:val="4F81BD" w:themeColor="accent1"/>
          <w:u w:val="single" w:color="1F497D" w:themeColor="text2"/>
        </w:rPr>
        <w:t>Trauma</w:t>
      </w:r>
    </w:p>
    <w:p w:rsidR="004F2B23" w:rsidRDefault="004F2B23">
      <w:pPr>
        <w:spacing w:before="7"/>
        <w:rPr>
          <w:rFonts w:ascii="Calibri" w:eastAsia="Calibri" w:hAnsi="Calibri" w:cs="Calibri"/>
          <w:b/>
          <w:bCs/>
          <w:sz w:val="11"/>
          <w:szCs w:val="11"/>
        </w:rPr>
      </w:pPr>
    </w:p>
    <w:p w:rsidR="004F2B23" w:rsidRDefault="0000363D">
      <w:pPr>
        <w:pStyle w:val="BodyText"/>
        <w:spacing w:before="56"/>
        <w:ind w:left="107" w:right="99"/>
      </w:pPr>
      <w:r>
        <w:t xml:space="preserve">The effect was that the children were intentionally and systematically inculcated with shame for being Indian through ridicule of their religions and their life-ways. The shame became internalized as self-loathing and emotional disenfranchisement from their own culture. These children passed on the legacy of the boarding school policy, returning to their communities, as deeply scarred human beings with none of the skills </w:t>
      </w:r>
      <w:r>
        <w:rPr>
          <w:rFonts w:cs="Calibri"/>
        </w:rPr>
        <w:t xml:space="preserve">– </w:t>
      </w:r>
      <w:r>
        <w:t>community identity, parenting, extended family relationships, native languages, or ceremonial and cultural practices learned by those raised within their own cultures. The effects of this policy continue</w:t>
      </w:r>
      <w:r>
        <w:rPr>
          <w:spacing w:val="-19"/>
        </w:rPr>
        <w:t xml:space="preserve"> </w:t>
      </w:r>
      <w:r>
        <w:t>today.</w:t>
      </w:r>
    </w:p>
    <w:p w:rsidR="004F2B23" w:rsidRDefault="0000363D" w:rsidP="001B72A4">
      <w:pPr>
        <w:pStyle w:val="BodyText"/>
        <w:spacing w:before="196" w:line="266" w:lineRule="exact"/>
        <w:ind w:right="99"/>
        <w:rPr>
          <w:rFonts w:cs="Calibri"/>
        </w:rPr>
      </w:pPr>
      <w:r>
        <w:t>The loss of culture, language, and other devastating impacts of the Boarding School policy continue to affect Native American individuals, families, communities, Tribes, Pueblos and Alaska Native villages throughout</w:t>
      </w:r>
      <w:r>
        <w:rPr>
          <w:spacing w:val="-34"/>
        </w:rPr>
        <w:t xml:space="preserve"> </w:t>
      </w:r>
      <w:r>
        <w:t>the</w:t>
      </w:r>
      <w:r w:rsidR="001B72A4">
        <w:t xml:space="preserve"> U.S. </w:t>
      </w:r>
      <w:r>
        <w:t>The lasting legacy is reflected in elevated levels of alcoholism, disproportionate rates of</w:t>
      </w:r>
      <w:r>
        <w:rPr>
          <w:spacing w:val="-32"/>
        </w:rPr>
        <w:t xml:space="preserve"> </w:t>
      </w:r>
      <w:r>
        <w:t>incarceration,</w:t>
      </w:r>
    </w:p>
    <w:p w:rsidR="004F2B23" w:rsidRDefault="0000363D">
      <w:pPr>
        <w:pStyle w:val="BodyText"/>
        <w:ind w:right="145"/>
      </w:pPr>
      <w:proofErr w:type="gramStart"/>
      <w:r>
        <w:t>large</w:t>
      </w:r>
      <w:proofErr w:type="gramEnd"/>
      <w:r>
        <w:t xml:space="preserve"> numbers of children still being removed from their communities and placed into non-Native foster care, low levels of</w:t>
      </w:r>
      <w:r>
        <w:rPr>
          <w:spacing w:val="-4"/>
        </w:rPr>
        <w:t xml:space="preserve"> </w:t>
      </w:r>
      <w:r>
        <w:t>educational</w:t>
      </w:r>
    </w:p>
    <w:p w:rsidR="004F2B23" w:rsidRDefault="00C3027E">
      <w:pPr>
        <w:pStyle w:val="BodyText"/>
        <w:ind w:right="99"/>
      </w:pPr>
      <w:r>
        <w:pict>
          <v:group id="_x0000_s1027" style="position:absolute;left:0;text-align:left;margin-left:218.85pt;margin-top:10.65pt;width:304.25pt;height:.1pt;z-index:251658240;mso-position-horizontal-relative:page" coordorigin="4377,213" coordsize="6085,2">
            <v:shape id="_x0000_s1028" style="position:absolute;left:4377;top:213;width:6085;height:2" coordorigin="4377,213" coordsize="6085,0" path="m4377,213r6085,e" filled="f" strokecolor="#dc902a" strokeweight="3pt">
              <v:path arrowok="t"/>
            </v:shape>
            <w10:wrap anchorx="page"/>
          </v:group>
        </w:pict>
      </w:r>
      <w:proofErr w:type="gramStart"/>
      <w:r w:rsidR="0000363D">
        <w:t>achievement</w:t>
      </w:r>
      <w:proofErr w:type="gramEnd"/>
      <w:r w:rsidR="0000363D">
        <w:t>, high rates</w:t>
      </w:r>
      <w:r w:rsidR="0000363D">
        <w:rPr>
          <w:spacing w:val="-7"/>
        </w:rPr>
        <w:t xml:space="preserve"> </w:t>
      </w:r>
      <w:r w:rsidR="0000363D">
        <w:t>of</w:t>
      </w:r>
    </w:p>
    <w:p w:rsidR="004F2B23" w:rsidRDefault="004F2B23">
      <w:pPr>
        <w:sectPr w:rsidR="004F2B23">
          <w:headerReference w:type="default" r:id="rId8"/>
          <w:footerReference w:type="default" r:id="rId9"/>
          <w:type w:val="continuous"/>
          <w:pgSz w:w="12240" w:h="15840"/>
          <w:pgMar w:top="980" w:right="920" w:bottom="280" w:left="900" w:header="720" w:footer="720" w:gutter="0"/>
          <w:cols w:space="720"/>
        </w:sectPr>
      </w:pPr>
    </w:p>
    <w:p w:rsidR="004F2B23" w:rsidRDefault="00C3027E">
      <w:pPr>
        <w:pStyle w:val="BodyText"/>
        <w:ind w:right="-1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4pt;margin-top:117.5pt;width:98.45pt;height:81.5pt;z-index:251657216;mso-position-horizontal-relative:page">
            <v:imagedata r:id="rId10" o:title=""/>
            <w10:wrap anchorx="page"/>
          </v:shape>
        </w:pict>
      </w:r>
      <w:proofErr w:type="gramStart"/>
      <w:r w:rsidR="0000363D">
        <w:t>domestic</w:t>
      </w:r>
      <w:proofErr w:type="gramEnd"/>
      <w:r w:rsidR="0000363D">
        <w:t xml:space="preserve"> and other violence, mental health concerns including the highest suicide rates in</w:t>
      </w:r>
      <w:r w:rsidR="0000363D">
        <w:rPr>
          <w:spacing w:val="-9"/>
        </w:rPr>
        <w:t xml:space="preserve"> </w:t>
      </w:r>
      <w:r w:rsidR="0000363D">
        <w:t>the U.S., economic disparities, high rates of poverty, and rampant dissociation in family</w:t>
      </w:r>
      <w:r w:rsidR="0000363D">
        <w:rPr>
          <w:spacing w:val="-7"/>
        </w:rPr>
        <w:t xml:space="preserve"> </w:t>
      </w:r>
      <w:r w:rsidR="0000363D">
        <w:t>settings.</w:t>
      </w:r>
    </w:p>
    <w:p w:rsidR="004F2B23" w:rsidRDefault="0000363D">
      <w:pPr>
        <w:spacing w:before="127" w:line="230" w:lineRule="auto"/>
        <w:ind w:left="108" w:right="750"/>
        <w:rPr>
          <w:rFonts w:ascii="Calibri" w:eastAsia="Calibri" w:hAnsi="Calibri" w:cs="Calibri"/>
          <w:sz w:val="20"/>
          <w:szCs w:val="20"/>
        </w:rPr>
      </w:pPr>
      <w:r>
        <w:br w:type="column"/>
      </w:r>
      <w:r>
        <w:rPr>
          <w:rFonts w:ascii="Calibri"/>
          <w:sz w:val="20"/>
        </w:rPr>
        <w:lastRenderedPageBreak/>
        <w:t xml:space="preserve">Kevin </w:t>
      </w:r>
      <w:proofErr w:type="spellStart"/>
      <w:r>
        <w:rPr>
          <w:rFonts w:ascii="Calibri"/>
          <w:sz w:val="20"/>
        </w:rPr>
        <w:t>Gover</w:t>
      </w:r>
      <w:proofErr w:type="spellEnd"/>
      <w:r>
        <w:rPr>
          <w:rFonts w:ascii="Calibri"/>
          <w:sz w:val="20"/>
        </w:rPr>
        <w:t>, (Pawnee) Assistant Secretary for Indian Affairs, Department</w:t>
      </w:r>
      <w:r>
        <w:rPr>
          <w:rFonts w:ascii="Calibri"/>
          <w:spacing w:val="-26"/>
          <w:sz w:val="20"/>
        </w:rPr>
        <w:t xml:space="preserve"> </w:t>
      </w:r>
      <w:r>
        <w:rPr>
          <w:rFonts w:ascii="Calibri"/>
          <w:sz w:val="20"/>
        </w:rPr>
        <w:t>of the Interior raised this reminder at the Ceremony Acknowledging the 175</w:t>
      </w:r>
      <w:proofErr w:type="spellStart"/>
      <w:r>
        <w:rPr>
          <w:rFonts w:ascii="Calibri"/>
          <w:position w:val="10"/>
          <w:sz w:val="13"/>
        </w:rPr>
        <w:t>th</w:t>
      </w:r>
      <w:proofErr w:type="spellEnd"/>
      <w:r>
        <w:rPr>
          <w:rFonts w:ascii="Calibri"/>
          <w:position w:val="10"/>
          <w:sz w:val="13"/>
        </w:rPr>
        <w:t xml:space="preserve"> </w:t>
      </w:r>
      <w:r>
        <w:rPr>
          <w:rFonts w:ascii="Calibri"/>
          <w:sz w:val="20"/>
        </w:rPr>
        <w:t xml:space="preserve">Anniversary of the Establishment of the Bureau of Indian Affairs, </w:t>
      </w:r>
      <w:r w:rsidR="001B72A4">
        <w:rPr>
          <w:rFonts w:ascii="Calibri"/>
          <w:sz w:val="20"/>
        </w:rPr>
        <w:t>which took part in carrying out the Boarding School Policies</w:t>
      </w:r>
      <w:r>
        <w:rPr>
          <w:rFonts w:ascii="Calibri"/>
          <w:sz w:val="20"/>
        </w:rPr>
        <w:t>:</w:t>
      </w:r>
    </w:p>
    <w:p w:rsidR="004F2B23" w:rsidRDefault="004F2B23">
      <w:pPr>
        <w:spacing w:before="4"/>
        <w:rPr>
          <w:rFonts w:ascii="Calibri" w:eastAsia="Calibri" w:hAnsi="Calibri" w:cs="Calibri"/>
          <w:sz w:val="16"/>
          <w:szCs w:val="16"/>
        </w:rPr>
      </w:pPr>
    </w:p>
    <w:p w:rsidR="004F2B23" w:rsidRDefault="0000363D" w:rsidP="001B72A4">
      <w:pPr>
        <w:ind w:left="720" w:right="750"/>
        <w:rPr>
          <w:rFonts w:ascii="Calibri" w:eastAsia="Calibri" w:hAnsi="Calibri" w:cs="Calibri"/>
          <w:sz w:val="20"/>
          <w:szCs w:val="20"/>
        </w:rPr>
      </w:pPr>
      <w:r>
        <w:rPr>
          <w:rFonts w:ascii="Calibri"/>
          <w:sz w:val="20"/>
        </w:rPr>
        <w:t xml:space="preserve">The trauma of shame, fear and anger has passed from one generation to the next, and manifests itself in the rampant alcoholism, drug abuse, and domestic violence that plague Indian country. Many of our people live lives of unrelenting tragedy as Indian families suffer the ruin of lives by alcoholism, suicides made of shame and despair, and violent death at the hands of one another. </w:t>
      </w:r>
      <w:proofErr w:type="gramStart"/>
      <w:r>
        <w:rPr>
          <w:rFonts w:ascii="Calibri"/>
          <w:sz w:val="20"/>
        </w:rPr>
        <w:t>So many of the maladies suffered today in Indian country</w:t>
      </w:r>
      <w:r>
        <w:rPr>
          <w:rFonts w:ascii="Calibri"/>
          <w:spacing w:val="-2"/>
          <w:sz w:val="20"/>
        </w:rPr>
        <w:t xml:space="preserve"> </w:t>
      </w:r>
      <w:r>
        <w:rPr>
          <w:rFonts w:ascii="Calibri"/>
          <w:sz w:val="20"/>
        </w:rPr>
        <w:t>result</w:t>
      </w:r>
      <w:r>
        <w:rPr>
          <w:rFonts w:ascii="Calibri"/>
          <w:spacing w:val="-3"/>
          <w:sz w:val="20"/>
        </w:rPr>
        <w:t xml:space="preserve"> </w:t>
      </w:r>
      <w:r>
        <w:rPr>
          <w:rFonts w:ascii="Calibri"/>
          <w:sz w:val="20"/>
        </w:rPr>
        <w:t>from</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failures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this</w:t>
      </w:r>
      <w:r>
        <w:rPr>
          <w:rFonts w:ascii="Calibri"/>
          <w:spacing w:val="-4"/>
          <w:sz w:val="20"/>
        </w:rPr>
        <w:t xml:space="preserve"> </w:t>
      </w:r>
      <w:r>
        <w:rPr>
          <w:rFonts w:ascii="Calibri"/>
          <w:sz w:val="20"/>
        </w:rPr>
        <w:t>agency</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Bureau</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Indian</w:t>
      </w:r>
      <w:r>
        <w:rPr>
          <w:rFonts w:ascii="Calibri"/>
          <w:spacing w:val="-3"/>
          <w:sz w:val="20"/>
        </w:rPr>
        <w:t xml:space="preserve"> </w:t>
      </w:r>
      <w:r>
        <w:rPr>
          <w:rFonts w:ascii="Calibri"/>
          <w:sz w:val="20"/>
        </w:rPr>
        <w:t>Affairs].</w:t>
      </w:r>
      <w:proofErr w:type="gramEnd"/>
      <w:r>
        <w:rPr>
          <w:rFonts w:ascii="Calibri"/>
          <w:sz w:val="20"/>
        </w:rPr>
        <w:t xml:space="preserve"> Poverty, ignorance, and disease have been the product of this agency's work.</w:t>
      </w:r>
    </w:p>
    <w:p w:rsidR="004F2B23" w:rsidRDefault="004F2B23">
      <w:pPr>
        <w:rPr>
          <w:rFonts w:ascii="Calibri" w:eastAsia="Calibri" w:hAnsi="Calibri" w:cs="Calibri"/>
          <w:sz w:val="20"/>
          <w:szCs w:val="20"/>
        </w:rPr>
        <w:sectPr w:rsidR="004F2B23">
          <w:type w:val="continuous"/>
          <w:pgSz w:w="12240" w:h="15840"/>
          <w:pgMar w:top="980" w:right="920" w:bottom="280" w:left="900" w:header="720" w:footer="720" w:gutter="0"/>
          <w:cols w:num="2" w:space="720" w:equalWidth="0">
            <w:col w:w="2500" w:space="902"/>
            <w:col w:w="7018"/>
          </w:cols>
        </w:sectPr>
      </w:pPr>
    </w:p>
    <w:p w:rsidR="004F2B23" w:rsidRDefault="004F2B23">
      <w:pPr>
        <w:spacing w:before="9"/>
        <w:rPr>
          <w:rFonts w:ascii="Calibri" w:eastAsia="Calibri" w:hAnsi="Calibri" w:cs="Calibri"/>
          <w:sz w:val="28"/>
          <w:szCs w:val="28"/>
        </w:rPr>
      </w:pPr>
    </w:p>
    <w:p w:rsidR="004F2B23" w:rsidRDefault="0000363D">
      <w:pPr>
        <w:spacing w:line="87" w:lineRule="exact"/>
        <w:ind w:left="3464"/>
        <w:rPr>
          <w:rFonts w:ascii="Calibri" w:eastAsia="Calibri" w:hAnsi="Calibri" w:cs="Calibri"/>
          <w:sz w:val="8"/>
          <w:szCs w:val="8"/>
        </w:rPr>
      </w:pPr>
      <w:r>
        <w:rPr>
          <w:rFonts w:ascii="Calibri" w:eastAsia="Calibri" w:hAnsi="Calibri" w:cs="Calibri"/>
          <w:noProof/>
          <w:position w:val="-1"/>
          <w:sz w:val="8"/>
          <w:szCs w:val="8"/>
        </w:rPr>
        <w:drawing>
          <wp:inline distT="0" distB="0" distL="0" distR="0">
            <wp:extent cx="3928831" cy="5553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3928831" cy="55530"/>
                    </a:xfrm>
                    <a:prstGeom prst="rect">
                      <a:avLst/>
                    </a:prstGeom>
                  </pic:spPr>
                </pic:pic>
              </a:graphicData>
            </a:graphic>
          </wp:inline>
        </w:drawing>
      </w:r>
    </w:p>
    <w:p w:rsidR="004F2B23" w:rsidRDefault="004F2B23">
      <w:pPr>
        <w:spacing w:line="87" w:lineRule="exact"/>
        <w:rPr>
          <w:rFonts w:ascii="Calibri" w:eastAsia="Calibri" w:hAnsi="Calibri" w:cs="Calibri"/>
          <w:sz w:val="8"/>
          <w:szCs w:val="8"/>
        </w:rPr>
        <w:sectPr w:rsidR="004F2B23">
          <w:type w:val="continuous"/>
          <w:pgSz w:w="12240" w:h="15840"/>
          <w:pgMar w:top="980" w:right="920" w:bottom="280" w:left="900" w:header="720" w:footer="720"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4739"/>
        <w:gridCol w:w="5013"/>
      </w:tblGrid>
      <w:tr w:rsidR="004F2B23">
        <w:trPr>
          <w:trHeight w:hRule="exact" w:val="6930"/>
        </w:trPr>
        <w:tc>
          <w:tcPr>
            <w:tcW w:w="4739" w:type="dxa"/>
            <w:tcBorders>
              <w:top w:val="single" w:sz="17" w:space="0" w:color="DC902A"/>
              <w:left w:val="single" w:sz="17" w:space="0" w:color="DC902A"/>
              <w:bottom w:val="single" w:sz="17" w:space="0" w:color="DC902A"/>
              <w:right w:val="single" w:sz="17" w:space="0" w:color="DC902A"/>
            </w:tcBorders>
          </w:tcPr>
          <w:p w:rsidR="004F2B23" w:rsidRPr="001B72A4" w:rsidRDefault="0000363D" w:rsidP="001B72A4">
            <w:pPr>
              <w:pStyle w:val="Heading1"/>
              <w:ind w:right="99"/>
              <w:jc w:val="center"/>
              <w:rPr>
                <w:color w:val="4F81BD" w:themeColor="accent1"/>
              </w:rPr>
            </w:pPr>
            <w:r w:rsidRPr="001B72A4">
              <w:rPr>
                <w:color w:val="4F81BD" w:themeColor="accent1"/>
              </w:rPr>
              <w:lastRenderedPageBreak/>
              <w:t>Which Churches Were Involved?</w:t>
            </w:r>
          </w:p>
          <w:p w:rsidR="004F2B23" w:rsidRDefault="004F2B23">
            <w:pPr>
              <w:pStyle w:val="TableParagraph"/>
              <w:rPr>
                <w:rFonts w:ascii="Calibri" w:eastAsia="Calibri" w:hAnsi="Calibri" w:cs="Calibri"/>
              </w:rPr>
            </w:pPr>
          </w:p>
          <w:p w:rsidR="004F2B23" w:rsidRDefault="0000363D">
            <w:pPr>
              <w:pStyle w:val="TableParagraph"/>
              <w:ind w:left="86" w:right="473" w:firstLine="50"/>
              <w:rPr>
                <w:rFonts w:ascii="Calibri" w:eastAsia="Calibri" w:hAnsi="Calibri" w:cs="Calibri"/>
              </w:rPr>
            </w:pPr>
            <w:r>
              <w:rPr>
                <w:rFonts w:ascii="Calibri"/>
              </w:rPr>
              <w:t>In 1872, as the boarding school program got underway, the Board of Indian Commissioners allotted 73 Indian agencies to several denominations, as</w:t>
            </w:r>
            <w:r>
              <w:rPr>
                <w:rFonts w:ascii="Calibri"/>
                <w:spacing w:val="-9"/>
              </w:rPr>
              <w:t xml:space="preserve"> </w:t>
            </w:r>
            <w:r>
              <w:rPr>
                <w:rFonts w:ascii="Calibri"/>
              </w:rPr>
              <w:t>follows:</w:t>
            </w:r>
          </w:p>
          <w:p w:rsidR="004F2B23" w:rsidRDefault="004F2B23">
            <w:pPr>
              <w:pStyle w:val="TableParagraph"/>
              <w:spacing w:before="2"/>
              <w:rPr>
                <w:rFonts w:ascii="Calibri" w:eastAsia="Calibri" w:hAnsi="Calibri" w:cs="Calibri"/>
                <w:sz w:val="20"/>
                <w:szCs w:val="20"/>
              </w:rPr>
            </w:pPr>
          </w:p>
          <w:p w:rsidR="004F2B23" w:rsidRDefault="0000363D">
            <w:pPr>
              <w:pStyle w:val="TableParagraph"/>
              <w:numPr>
                <w:ilvl w:val="0"/>
                <w:numId w:val="1"/>
              </w:numPr>
              <w:tabs>
                <w:tab w:val="left" w:pos="224"/>
              </w:tabs>
              <w:ind w:right="328" w:hanging="137"/>
              <w:rPr>
                <w:rFonts w:ascii="Calibri" w:eastAsia="Calibri" w:hAnsi="Calibri" w:cs="Calibri"/>
                <w:sz w:val="20"/>
                <w:szCs w:val="20"/>
              </w:rPr>
            </w:pPr>
            <w:r>
              <w:rPr>
                <w:rFonts w:ascii="Calibri"/>
                <w:sz w:val="20"/>
              </w:rPr>
              <w:t>Methodists, fourteen agencies in the Pacific North- west (54,743</w:t>
            </w:r>
            <w:r>
              <w:rPr>
                <w:rFonts w:ascii="Calibri"/>
                <w:spacing w:val="-11"/>
                <w:sz w:val="20"/>
              </w:rPr>
              <w:t xml:space="preserve"> </w:t>
            </w:r>
            <w:r>
              <w:rPr>
                <w:rFonts w:ascii="Calibri"/>
                <w:sz w:val="20"/>
              </w:rPr>
              <w:t>Indians)</w:t>
            </w:r>
          </w:p>
          <w:p w:rsidR="004F2B23" w:rsidRDefault="0000363D">
            <w:pPr>
              <w:pStyle w:val="TableParagraph"/>
              <w:numPr>
                <w:ilvl w:val="0"/>
                <w:numId w:val="1"/>
              </w:numPr>
              <w:tabs>
                <w:tab w:val="left" w:pos="224"/>
              </w:tabs>
              <w:spacing w:before="2" w:line="255" w:lineRule="exact"/>
              <w:ind w:hanging="137"/>
              <w:rPr>
                <w:rFonts w:ascii="Calibri" w:eastAsia="Calibri" w:hAnsi="Calibri" w:cs="Calibri"/>
                <w:sz w:val="20"/>
                <w:szCs w:val="20"/>
              </w:rPr>
            </w:pPr>
            <w:r>
              <w:rPr>
                <w:rFonts w:ascii="Calibri"/>
                <w:sz w:val="20"/>
              </w:rPr>
              <w:t>Presbyterian, nine in the Southwest</w:t>
            </w:r>
            <w:r>
              <w:rPr>
                <w:rFonts w:ascii="Calibri"/>
                <w:spacing w:val="-13"/>
                <w:sz w:val="20"/>
              </w:rPr>
              <w:t xml:space="preserve"> </w:t>
            </w:r>
            <w:r>
              <w:rPr>
                <w:rFonts w:ascii="Calibri"/>
                <w:sz w:val="20"/>
              </w:rPr>
              <w:t>(38,069)</w:t>
            </w:r>
          </w:p>
          <w:p w:rsidR="004F2B23" w:rsidRDefault="0000363D">
            <w:pPr>
              <w:pStyle w:val="TableParagraph"/>
              <w:numPr>
                <w:ilvl w:val="0"/>
                <w:numId w:val="1"/>
              </w:numPr>
              <w:tabs>
                <w:tab w:val="left" w:pos="224"/>
              </w:tabs>
              <w:spacing w:line="254" w:lineRule="exact"/>
              <w:ind w:hanging="137"/>
              <w:rPr>
                <w:rFonts w:ascii="Calibri" w:eastAsia="Calibri" w:hAnsi="Calibri" w:cs="Calibri"/>
                <w:sz w:val="20"/>
                <w:szCs w:val="20"/>
              </w:rPr>
            </w:pPr>
            <w:r>
              <w:rPr>
                <w:rFonts w:ascii="Calibri"/>
                <w:sz w:val="20"/>
              </w:rPr>
              <w:t>Episcopalians, eight in the Dakotas</w:t>
            </w:r>
            <w:r>
              <w:rPr>
                <w:rFonts w:ascii="Calibri"/>
                <w:spacing w:val="-15"/>
                <w:sz w:val="20"/>
              </w:rPr>
              <w:t xml:space="preserve"> </w:t>
            </w:r>
            <w:r>
              <w:rPr>
                <w:rFonts w:ascii="Calibri"/>
                <w:sz w:val="20"/>
              </w:rPr>
              <w:t>(26,929)</w:t>
            </w:r>
          </w:p>
          <w:p w:rsidR="004F2B23" w:rsidRDefault="0000363D">
            <w:pPr>
              <w:pStyle w:val="TableParagraph"/>
              <w:numPr>
                <w:ilvl w:val="0"/>
                <w:numId w:val="1"/>
              </w:numPr>
              <w:tabs>
                <w:tab w:val="left" w:pos="224"/>
              </w:tabs>
              <w:ind w:hanging="137"/>
              <w:rPr>
                <w:rFonts w:ascii="Calibri" w:eastAsia="Calibri" w:hAnsi="Calibri" w:cs="Calibri"/>
                <w:sz w:val="20"/>
                <w:szCs w:val="20"/>
              </w:rPr>
            </w:pPr>
            <w:r>
              <w:rPr>
                <w:rFonts w:ascii="Calibri"/>
                <w:sz w:val="20"/>
              </w:rPr>
              <w:t>Catholics, seven</w:t>
            </w:r>
            <w:r>
              <w:rPr>
                <w:rFonts w:ascii="Calibri"/>
                <w:spacing w:val="-15"/>
                <w:sz w:val="20"/>
              </w:rPr>
              <w:t xml:space="preserve"> </w:t>
            </w:r>
            <w:r>
              <w:rPr>
                <w:rFonts w:ascii="Calibri"/>
                <w:sz w:val="20"/>
              </w:rPr>
              <w:t>(17,856)</w:t>
            </w:r>
          </w:p>
          <w:p w:rsidR="004F2B23" w:rsidRDefault="0000363D">
            <w:pPr>
              <w:pStyle w:val="TableParagraph"/>
              <w:numPr>
                <w:ilvl w:val="0"/>
                <w:numId w:val="1"/>
              </w:numPr>
              <w:tabs>
                <w:tab w:val="left" w:pos="224"/>
              </w:tabs>
              <w:spacing w:before="2" w:line="255" w:lineRule="exact"/>
              <w:ind w:hanging="137"/>
              <w:rPr>
                <w:rFonts w:ascii="Calibri" w:eastAsia="Calibri" w:hAnsi="Calibri" w:cs="Calibri"/>
                <w:sz w:val="20"/>
                <w:szCs w:val="20"/>
              </w:rPr>
            </w:pPr>
            <w:proofErr w:type="spellStart"/>
            <w:r>
              <w:rPr>
                <w:rFonts w:ascii="Calibri"/>
                <w:sz w:val="20"/>
              </w:rPr>
              <w:t>Hicksite</w:t>
            </w:r>
            <w:proofErr w:type="spellEnd"/>
            <w:r>
              <w:rPr>
                <w:rFonts w:ascii="Calibri"/>
                <w:sz w:val="20"/>
              </w:rPr>
              <w:t xml:space="preserve"> Friends, six</w:t>
            </w:r>
            <w:r>
              <w:rPr>
                <w:rFonts w:ascii="Calibri"/>
                <w:spacing w:val="-16"/>
                <w:sz w:val="20"/>
              </w:rPr>
              <w:t xml:space="preserve"> </w:t>
            </w:r>
            <w:r>
              <w:rPr>
                <w:rFonts w:ascii="Calibri"/>
                <w:sz w:val="20"/>
              </w:rPr>
              <w:t>(6,598)</w:t>
            </w:r>
          </w:p>
          <w:p w:rsidR="004F2B23" w:rsidRDefault="0000363D">
            <w:pPr>
              <w:pStyle w:val="TableParagraph"/>
              <w:numPr>
                <w:ilvl w:val="0"/>
                <w:numId w:val="1"/>
              </w:numPr>
              <w:tabs>
                <w:tab w:val="left" w:pos="224"/>
              </w:tabs>
              <w:spacing w:line="254" w:lineRule="exact"/>
              <w:ind w:hanging="137"/>
              <w:rPr>
                <w:rFonts w:ascii="Calibri" w:eastAsia="Calibri" w:hAnsi="Calibri" w:cs="Calibri"/>
                <w:sz w:val="20"/>
                <w:szCs w:val="20"/>
              </w:rPr>
            </w:pPr>
            <w:r>
              <w:rPr>
                <w:rFonts w:ascii="Calibri"/>
                <w:sz w:val="20"/>
              </w:rPr>
              <w:t>Orthodox Friends, ten</w:t>
            </w:r>
            <w:r>
              <w:rPr>
                <w:rFonts w:ascii="Calibri"/>
                <w:spacing w:val="-20"/>
                <w:sz w:val="20"/>
              </w:rPr>
              <w:t xml:space="preserve"> </w:t>
            </w:r>
            <w:r>
              <w:rPr>
                <w:rFonts w:ascii="Calibri"/>
                <w:sz w:val="20"/>
              </w:rPr>
              <w:t>(17,724)</w:t>
            </w:r>
          </w:p>
          <w:p w:rsidR="004F2B23" w:rsidRDefault="0000363D">
            <w:pPr>
              <w:pStyle w:val="TableParagraph"/>
              <w:numPr>
                <w:ilvl w:val="0"/>
                <w:numId w:val="1"/>
              </w:numPr>
              <w:tabs>
                <w:tab w:val="left" w:pos="224"/>
              </w:tabs>
              <w:ind w:right="257" w:hanging="137"/>
              <w:rPr>
                <w:rFonts w:ascii="Calibri" w:eastAsia="Calibri" w:hAnsi="Calibri" w:cs="Calibri"/>
                <w:sz w:val="20"/>
                <w:szCs w:val="20"/>
              </w:rPr>
            </w:pPr>
            <w:r>
              <w:rPr>
                <w:rFonts w:ascii="Calibri"/>
                <w:sz w:val="20"/>
              </w:rPr>
              <w:t>Baptists, five in Utah, Idaho and the Indian Territory (40,800)</w:t>
            </w:r>
          </w:p>
          <w:p w:rsidR="004F2B23" w:rsidRDefault="0000363D">
            <w:pPr>
              <w:pStyle w:val="TableParagraph"/>
              <w:numPr>
                <w:ilvl w:val="0"/>
                <w:numId w:val="1"/>
              </w:numPr>
              <w:tabs>
                <w:tab w:val="left" w:pos="224"/>
              </w:tabs>
              <w:spacing w:before="2" w:line="255" w:lineRule="exact"/>
              <w:ind w:hanging="137"/>
              <w:rPr>
                <w:rFonts w:ascii="Calibri" w:eastAsia="Calibri" w:hAnsi="Calibri" w:cs="Calibri"/>
                <w:sz w:val="20"/>
                <w:szCs w:val="20"/>
              </w:rPr>
            </w:pPr>
            <w:r>
              <w:rPr>
                <w:rFonts w:ascii="Calibri"/>
                <w:sz w:val="20"/>
              </w:rPr>
              <w:t>Reformed Dutch, five</w:t>
            </w:r>
            <w:r>
              <w:rPr>
                <w:rFonts w:ascii="Calibri"/>
                <w:spacing w:val="-9"/>
                <w:sz w:val="20"/>
              </w:rPr>
              <w:t xml:space="preserve"> </w:t>
            </w:r>
            <w:r>
              <w:rPr>
                <w:rFonts w:ascii="Calibri"/>
                <w:sz w:val="20"/>
              </w:rPr>
              <w:t>(8,118)</w:t>
            </w:r>
          </w:p>
          <w:p w:rsidR="004F2B23" w:rsidRDefault="0000363D">
            <w:pPr>
              <w:pStyle w:val="TableParagraph"/>
              <w:numPr>
                <w:ilvl w:val="0"/>
                <w:numId w:val="1"/>
              </w:numPr>
              <w:tabs>
                <w:tab w:val="left" w:pos="224"/>
              </w:tabs>
              <w:spacing w:line="254" w:lineRule="exact"/>
              <w:ind w:hanging="137"/>
              <w:rPr>
                <w:rFonts w:ascii="Calibri" w:eastAsia="Calibri" w:hAnsi="Calibri" w:cs="Calibri"/>
                <w:sz w:val="20"/>
                <w:szCs w:val="20"/>
              </w:rPr>
            </w:pPr>
            <w:r>
              <w:rPr>
                <w:rFonts w:ascii="Calibri"/>
                <w:sz w:val="20"/>
              </w:rPr>
              <w:t>Congregationalists, three</w:t>
            </w:r>
            <w:r>
              <w:rPr>
                <w:rFonts w:ascii="Calibri"/>
                <w:spacing w:val="-13"/>
                <w:sz w:val="20"/>
              </w:rPr>
              <w:t xml:space="preserve"> </w:t>
            </w:r>
            <w:r>
              <w:rPr>
                <w:rFonts w:ascii="Calibri"/>
                <w:sz w:val="20"/>
              </w:rPr>
              <w:t>(14,476)</w:t>
            </w:r>
          </w:p>
          <w:p w:rsidR="004F2B23" w:rsidRDefault="0000363D">
            <w:pPr>
              <w:pStyle w:val="TableParagraph"/>
              <w:numPr>
                <w:ilvl w:val="0"/>
                <w:numId w:val="1"/>
              </w:numPr>
              <w:tabs>
                <w:tab w:val="left" w:pos="224"/>
              </w:tabs>
              <w:spacing w:line="254" w:lineRule="exact"/>
              <w:ind w:hanging="137"/>
              <w:rPr>
                <w:rFonts w:ascii="Calibri" w:eastAsia="Calibri" w:hAnsi="Calibri" w:cs="Calibri"/>
                <w:sz w:val="20"/>
                <w:szCs w:val="20"/>
              </w:rPr>
            </w:pPr>
            <w:r>
              <w:rPr>
                <w:rFonts w:ascii="Calibri"/>
                <w:sz w:val="20"/>
              </w:rPr>
              <w:t>Christians, two</w:t>
            </w:r>
            <w:r>
              <w:rPr>
                <w:rFonts w:ascii="Calibri"/>
                <w:spacing w:val="-12"/>
                <w:sz w:val="20"/>
              </w:rPr>
              <w:t xml:space="preserve"> </w:t>
            </w:r>
            <w:r>
              <w:rPr>
                <w:rFonts w:ascii="Calibri"/>
                <w:sz w:val="20"/>
              </w:rPr>
              <w:t>(8,287)</w:t>
            </w:r>
          </w:p>
          <w:p w:rsidR="004F2B23" w:rsidRDefault="0000363D">
            <w:pPr>
              <w:pStyle w:val="TableParagraph"/>
              <w:numPr>
                <w:ilvl w:val="0"/>
                <w:numId w:val="1"/>
              </w:numPr>
              <w:tabs>
                <w:tab w:val="left" w:pos="224"/>
              </w:tabs>
              <w:spacing w:line="254" w:lineRule="exact"/>
              <w:ind w:hanging="137"/>
              <w:rPr>
                <w:rFonts w:ascii="Calibri" w:eastAsia="Calibri" w:hAnsi="Calibri" w:cs="Calibri"/>
                <w:sz w:val="20"/>
                <w:szCs w:val="20"/>
              </w:rPr>
            </w:pPr>
            <w:r>
              <w:rPr>
                <w:rFonts w:ascii="Calibri"/>
                <w:sz w:val="20"/>
              </w:rPr>
              <w:t>Unitarians, two</w:t>
            </w:r>
            <w:r>
              <w:rPr>
                <w:rFonts w:ascii="Calibri"/>
                <w:spacing w:val="-10"/>
                <w:sz w:val="20"/>
              </w:rPr>
              <w:t xml:space="preserve"> </w:t>
            </w:r>
            <w:r>
              <w:rPr>
                <w:rFonts w:ascii="Calibri"/>
                <w:sz w:val="20"/>
              </w:rPr>
              <w:t>(3,800)</w:t>
            </w:r>
          </w:p>
          <w:p w:rsidR="004F2B23" w:rsidRDefault="0000363D">
            <w:pPr>
              <w:pStyle w:val="TableParagraph"/>
              <w:numPr>
                <w:ilvl w:val="0"/>
                <w:numId w:val="1"/>
              </w:numPr>
              <w:tabs>
                <w:tab w:val="left" w:pos="224"/>
              </w:tabs>
              <w:ind w:right="413" w:hanging="137"/>
              <w:rPr>
                <w:rFonts w:ascii="Calibri" w:eastAsia="Calibri" w:hAnsi="Calibri" w:cs="Calibri"/>
                <w:sz w:val="20"/>
                <w:szCs w:val="20"/>
              </w:rPr>
            </w:pPr>
            <w:r>
              <w:rPr>
                <w:rFonts w:ascii="Calibri"/>
                <w:sz w:val="20"/>
              </w:rPr>
              <w:t>American Board of Commissioners for Foreign Missions in Indian Territories of Oklahoma</w:t>
            </w:r>
            <w:r>
              <w:rPr>
                <w:rFonts w:ascii="Calibri"/>
                <w:spacing w:val="-21"/>
                <w:sz w:val="20"/>
              </w:rPr>
              <w:t xml:space="preserve"> </w:t>
            </w:r>
            <w:r>
              <w:rPr>
                <w:rFonts w:ascii="Calibri"/>
                <w:sz w:val="20"/>
              </w:rPr>
              <w:t>(1,496)</w:t>
            </w:r>
          </w:p>
          <w:p w:rsidR="004F2B23" w:rsidRDefault="0000363D">
            <w:pPr>
              <w:pStyle w:val="TableParagraph"/>
              <w:numPr>
                <w:ilvl w:val="0"/>
                <w:numId w:val="1"/>
              </w:numPr>
              <w:tabs>
                <w:tab w:val="left" w:pos="224"/>
              </w:tabs>
              <w:spacing w:line="254" w:lineRule="exact"/>
              <w:ind w:hanging="137"/>
              <w:rPr>
                <w:rFonts w:ascii="Calibri" w:eastAsia="Calibri" w:hAnsi="Calibri" w:cs="Calibri"/>
                <w:sz w:val="20"/>
                <w:szCs w:val="20"/>
              </w:rPr>
            </w:pPr>
            <w:r>
              <w:rPr>
                <w:rFonts w:ascii="Calibri"/>
                <w:sz w:val="20"/>
              </w:rPr>
              <w:t>Lutherans, one</w:t>
            </w:r>
            <w:r>
              <w:rPr>
                <w:rFonts w:ascii="Calibri"/>
                <w:spacing w:val="-14"/>
                <w:sz w:val="20"/>
              </w:rPr>
              <w:t xml:space="preserve"> </w:t>
            </w:r>
            <w:r>
              <w:rPr>
                <w:rFonts w:ascii="Calibri"/>
                <w:sz w:val="20"/>
              </w:rPr>
              <w:t>(273)</w:t>
            </w:r>
          </w:p>
        </w:tc>
        <w:tc>
          <w:tcPr>
            <w:tcW w:w="5013" w:type="dxa"/>
            <w:tcBorders>
              <w:top w:val="nil"/>
              <w:left w:val="single" w:sz="17" w:space="0" w:color="DC902A"/>
              <w:bottom w:val="nil"/>
              <w:right w:val="nil"/>
            </w:tcBorders>
          </w:tcPr>
          <w:p w:rsidR="004F2B23" w:rsidRPr="001B72A4" w:rsidRDefault="0000363D">
            <w:pPr>
              <w:pStyle w:val="TableParagraph"/>
              <w:spacing w:before="16"/>
              <w:ind w:left="448"/>
              <w:rPr>
                <w:rFonts w:ascii="Calibri" w:eastAsia="Calibri" w:hAnsi="Calibri" w:cs="Calibri"/>
                <w:color w:val="4F81BD" w:themeColor="accent1"/>
              </w:rPr>
            </w:pPr>
            <w:r w:rsidRPr="001B72A4">
              <w:rPr>
                <w:rFonts w:ascii="Calibri"/>
                <w:b/>
                <w:color w:val="4F81BD" w:themeColor="accent1"/>
              </w:rPr>
              <w:t>A Vision for</w:t>
            </w:r>
            <w:r w:rsidRPr="001B72A4">
              <w:rPr>
                <w:rFonts w:ascii="Calibri"/>
                <w:b/>
                <w:color w:val="4F81BD" w:themeColor="accent1"/>
                <w:spacing w:val="-5"/>
              </w:rPr>
              <w:t xml:space="preserve"> </w:t>
            </w:r>
            <w:r w:rsidRPr="001B72A4">
              <w:rPr>
                <w:rFonts w:ascii="Calibri"/>
                <w:b/>
                <w:color w:val="4F81BD" w:themeColor="accent1"/>
              </w:rPr>
              <w:t>Healing</w:t>
            </w:r>
          </w:p>
          <w:p w:rsidR="004F2B23" w:rsidRDefault="004F2B23">
            <w:pPr>
              <w:pStyle w:val="TableParagraph"/>
              <w:rPr>
                <w:rFonts w:ascii="Calibri" w:eastAsia="Calibri" w:hAnsi="Calibri" w:cs="Calibri"/>
              </w:rPr>
            </w:pPr>
          </w:p>
          <w:p w:rsidR="004F2B23" w:rsidRDefault="0000363D">
            <w:pPr>
              <w:pStyle w:val="TableParagraph"/>
              <w:ind w:left="448" w:right="198"/>
              <w:rPr>
                <w:rFonts w:ascii="Calibri" w:eastAsia="Calibri" w:hAnsi="Calibri" w:cs="Calibri"/>
              </w:rPr>
            </w:pPr>
            <w:r>
              <w:rPr>
                <w:rFonts w:ascii="Calibri" w:eastAsia="Calibri" w:hAnsi="Calibri" w:cs="Calibri"/>
              </w:rPr>
              <w:t>Support for communities, families, and Nations in the healing process must be based on community-driven, culturally</w:t>
            </w:r>
            <w:r w:rsidR="001B72A4">
              <w:rPr>
                <w:rFonts w:ascii="Calibri" w:eastAsia="Calibri" w:hAnsi="Calibri" w:cs="Calibri"/>
              </w:rPr>
              <w:t>-</w:t>
            </w:r>
            <w:r>
              <w:rPr>
                <w:rFonts w:ascii="Calibri" w:eastAsia="Calibri" w:hAnsi="Calibri" w:cs="Calibri"/>
              </w:rPr>
              <w:t>appropriate healing using Indigenous principles and understandings. The quest for a fully participatory process—one that results in meaningful and just redress, reconciliation and restoration of what can be restored—will involve engaging impacted Indigenous individuals and Peoples to define what justice, healing, and redress look like for them. This vision may differ among and between distinct communities. It is imperative to begin collecting input now as to what measures are needed in each Nation and community to begin to reverse the bitter legacy of this policy—a policy of deliberate genocide. It is time for all of us— indigenous nations and colonizer institutions— to begin</w:t>
            </w:r>
            <w:r>
              <w:rPr>
                <w:rFonts w:ascii="Calibri" w:eastAsia="Calibri" w:hAnsi="Calibri" w:cs="Calibri"/>
                <w:spacing w:val="-2"/>
              </w:rPr>
              <w:t xml:space="preserve"> </w:t>
            </w:r>
            <w:r>
              <w:rPr>
                <w:rFonts w:ascii="Calibri" w:eastAsia="Calibri" w:hAnsi="Calibri" w:cs="Calibri"/>
              </w:rPr>
              <w:t>healing.</w:t>
            </w:r>
          </w:p>
          <w:p w:rsidR="004F2B23" w:rsidRDefault="004F2B23">
            <w:pPr>
              <w:pStyle w:val="TableParagraph"/>
              <w:rPr>
                <w:rFonts w:ascii="Calibri" w:eastAsia="Calibri" w:hAnsi="Calibri" w:cs="Calibri"/>
                <w:sz w:val="20"/>
                <w:szCs w:val="20"/>
              </w:rPr>
            </w:pPr>
          </w:p>
          <w:p w:rsidR="004F2B23" w:rsidRDefault="004F2B23">
            <w:pPr>
              <w:pStyle w:val="TableParagraph"/>
              <w:spacing w:before="1"/>
              <w:rPr>
                <w:rFonts w:ascii="Calibri" w:eastAsia="Calibri" w:hAnsi="Calibri" w:cs="Calibri"/>
                <w:sz w:val="18"/>
                <w:szCs w:val="18"/>
              </w:rPr>
            </w:pPr>
          </w:p>
          <w:p w:rsidR="004F2B23" w:rsidRDefault="0000363D">
            <w:pPr>
              <w:pStyle w:val="TableParagraph"/>
              <w:ind w:left="781"/>
              <w:rPr>
                <w:rFonts w:ascii="Calibri" w:eastAsia="Calibri" w:hAnsi="Calibri" w:cs="Calibri"/>
                <w:sz w:val="20"/>
                <w:szCs w:val="20"/>
              </w:rPr>
            </w:pPr>
            <w:r>
              <w:rPr>
                <w:rFonts w:ascii="Calibri" w:eastAsia="Calibri" w:hAnsi="Calibri" w:cs="Calibri"/>
                <w:noProof/>
                <w:sz w:val="20"/>
                <w:szCs w:val="20"/>
              </w:rPr>
              <w:drawing>
                <wp:inline distT="0" distB="0" distL="0" distR="0">
                  <wp:extent cx="1962150" cy="4953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1962150" cy="495300"/>
                          </a:xfrm>
                          <a:prstGeom prst="rect">
                            <a:avLst/>
                          </a:prstGeom>
                        </pic:spPr>
                      </pic:pic>
                    </a:graphicData>
                  </a:graphic>
                </wp:inline>
              </w:drawing>
            </w:r>
          </w:p>
        </w:tc>
      </w:tr>
    </w:tbl>
    <w:p w:rsidR="004F2B23" w:rsidRDefault="004F2B23">
      <w:pPr>
        <w:rPr>
          <w:rFonts w:ascii="Calibri" w:eastAsia="Calibri" w:hAnsi="Calibri" w:cs="Calibri"/>
          <w:sz w:val="20"/>
          <w:szCs w:val="20"/>
        </w:rPr>
      </w:pPr>
    </w:p>
    <w:p w:rsidR="001B72A4" w:rsidRPr="001B72A4" w:rsidRDefault="001B72A4" w:rsidP="001B72A4">
      <w:pPr>
        <w:rPr>
          <w:b/>
          <w:color w:val="4F81BD" w:themeColor="accent1"/>
          <w:u w:val="single" w:color="1F497D" w:themeColor="text2"/>
        </w:rPr>
      </w:pPr>
      <w:r w:rsidRPr="001B72A4">
        <w:rPr>
          <w:b/>
          <w:color w:val="4F81BD" w:themeColor="accent1"/>
          <w:u w:val="single" w:color="1F497D" w:themeColor="text2"/>
        </w:rPr>
        <w:t>The National Native American Boarding School Healing Coalition</w:t>
      </w:r>
    </w:p>
    <w:p w:rsidR="001B72A4" w:rsidRDefault="001B72A4" w:rsidP="001B72A4"/>
    <w:p w:rsidR="001B72A4" w:rsidRDefault="001B72A4" w:rsidP="001B72A4">
      <w:r>
        <w:t>Native American organizations, individuals, and tribes created this coalition to:</w:t>
      </w:r>
    </w:p>
    <w:p w:rsidR="001B72A4" w:rsidRDefault="001B72A4" w:rsidP="001B72A4"/>
    <w:p w:rsidR="001B72A4" w:rsidRDefault="001B72A4" w:rsidP="00841451">
      <w:pPr>
        <w:pStyle w:val="ListParagraph"/>
        <w:widowControl/>
        <w:numPr>
          <w:ilvl w:val="0"/>
          <w:numId w:val="3"/>
        </w:numPr>
        <w:ind w:left="360"/>
        <w:contextualSpacing/>
      </w:pPr>
      <w:r>
        <w:t>Promote research and awareness about the history of the Indian boarding schools, the involvement of churches and government agencies, and the resulting trauma and lasting effects on boarding school survivors and their descendants.</w:t>
      </w:r>
    </w:p>
    <w:p w:rsidR="001B72A4" w:rsidRDefault="001B72A4" w:rsidP="00841451">
      <w:pPr>
        <w:pStyle w:val="ListParagraph"/>
        <w:widowControl/>
        <w:numPr>
          <w:ilvl w:val="0"/>
          <w:numId w:val="3"/>
        </w:numPr>
        <w:ind w:left="360"/>
        <w:contextualSpacing/>
      </w:pPr>
      <w:r>
        <w:t>Seek justice by pursuing public apology and official acknowledgement, restitution, reparations, and redress from the responsible government and religious institutions.</w:t>
      </w:r>
    </w:p>
    <w:p w:rsidR="001B72A4" w:rsidRDefault="001B72A4" w:rsidP="00841451">
      <w:pPr>
        <w:pStyle w:val="ListParagraph"/>
        <w:widowControl/>
        <w:numPr>
          <w:ilvl w:val="0"/>
          <w:numId w:val="4"/>
        </w:numPr>
        <w:ind w:left="360"/>
        <w:contextualSpacing/>
      </w:pPr>
      <w:r>
        <w:t xml:space="preserve">Develop and provide models for community-led, culturally relevant spiritual, emotional, and psychological healing based on scientific research on historical, generational, and complex trauma. </w:t>
      </w:r>
    </w:p>
    <w:p w:rsidR="001B72A4" w:rsidRDefault="001B72A4" w:rsidP="001B72A4"/>
    <w:p w:rsidR="001B72A4" w:rsidRPr="001B72A4" w:rsidRDefault="001B72A4" w:rsidP="001B72A4">
      <w:pPr>
        <w:rPr>
          <w:b/>
          <w:color w:val="4F81BD" w:themeColor="accent1"/>
          <w:u w:val="single" w:color="1F497D" w:themeColor="text2"/>
        </w:rPr>
      </w:pPr>
      <w:r w:rsidRPr="001B72A4">
        <w:rPr>
          <w:b/>
          <w:color w:val="4F81BD" w:themeColor="accent1"/>
          <w:u w:val="single" w:color="1F497D" w:themeColor="text2"/>
        </w:rPr>
        <w:t>What Churches Can Do</w:t>
      </w:r>
    </w:p>
    <w:p w:rsidR="001B72A4" w:rsidRDefault="001B72A4" w:rsidP="001B72A4">
      <w:pPr>
        <w:rPr>
          <w:b/>
          <w:color w:val="984806" w:themeColor="accent6" w:themeShade="80"/>
        </w:rPr>
      </w:pPr>
    </w:p>
    <w:p w:rsidR="001B72A4" w:rsidRDefault="001B72A4" w:rsidP="00841451">
      <w:pPr>
        <w:pStyle w:val="ListParagraph"/>
        <w:widowControl/>
        <w:numPr>
          <w:ilvl w:val="0"/>
          <w:numId w:val="4"/>
        </w:numPr>
        <w:ind w:left="360"/>
        <w:contextualSpacing/>
      </w:pPr>
      <w:r>
        <w:t xml:space="preserve">Join the Coalition as an ally at </w:t>
      </w:r>
      <w:hyperlink r:id="rId13" w:history="1">
        <w:r w:rsidRPr="009100D9">
          <w:rPr>
            <w:rStyle w:val="Hyperlink"/>
          </w:rPr>
          <w:t>boardingschoolhealing.org</w:t>
        </w:r>
      </w:hyperlink>
      <w:r>
        <w:t>.</w:t>
      </w:r>
    </w:p>
    <w:p w:rsidR="001B72A4" w:rsidRDefault="001B72A4" w:rsidP="00841451">
      <w:pPr>
        <w:pStyle w:val="ListParagraph"/>
        <w:widowControl/>
        <w:numPr>
          <w:ilvl w:val="0"/>
          <w:numId w:val="4"/>
        </w:numPr>
        <w:ind w:left="360"/>
        <w:contextualSpacing/>
      </w:pPr>
      <w:r>
        <w:t>Conduct and disseminate research on your denomination’s involvement as operators, promoters, managers, teachers, and funders of Indian boarding schools.</w:t>
      </w:r>
    </w:p>
    <w:p w:rsidR="001B72A4" w:rsidRDefault="001B72A4" w:rsidP="00841451">
      <w:pPr>
        <w:pStyle w:val="ListParagraph"/>
        <w:widowControl/>
        <w:numPr>
          <w:ilvl w:val="0"/>
          <w:numId w:val="4"/>
        </w:numPr>
        <w:ind w:left="360"/>
        <w:contextualSpacing/>
      </w:pPr>
      <w:r>
        <w:t>Through processes of reflection and repentance, develop and adopt official statements of acknowledgement and apology.</w:t>
      </w:r>
    </w:p>
    <w:p w:rsidR="001B72A4" w:rsidRDefault="001B72A4" w:rsidP="00841451">
      <w:pPr>
        <w:pStyle w:val="ListParagraph"/>
        <w:widowControl/>
        <w:numPr>
          <w:ilvl w:val="0"/>
          <w:numId w:val="4"/>
        </w:numPr>
        <w:ind w:left="360" w:right="-150"/>
        <w:contextualSpacing/>
      </w:pPr>
      <w:r>
        <w:t>In consultation with the Coalition and the affected Native communities, take appropriate actions to make amends.</w:t>
      </w:r>
    </w:p>
    <w:p w:rsidR="001B72A4" w:rsidRPr="00393C7F" w:rsidRDefault="001B72A4" w:rsidP="00841451">
      <w:pPr>
        <w:pStyle w:val="ListParagraph"/>
        <w:widowControl/>
        <w:numPr>
          <w:ilvl w:val="0"/>
          <w:numId w:val="4"/>
        </w:numPr>
        <w:ind w:left="360"/>
        <w:contextualSpacing/>
      </w:pPr>
      <w:r>
        <w:t>Call on Congress and the President to establish a National Commission to learn the truth about the historic and ongoing impacts of the boarding schools on Native families, and recommend actions that support truth, reconciliation, and healing.</w:t>
      </w:r>
    </w:p>
    <w:sectPr w:rsidR="001B72A4" w:rsidRPr="00393C7F">
      <w:headerReference w:type="default" r:id="rId14"/>
      <w:pgSz w:w="12240" w:h="15840"/>
      <w:pgMar w:top="780" w:right="92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7E" w:rsidRDefault="00C3027E" w:rsidP="001B72A4">
      <w:r>
        <w:separator/>
      </w:r>
    </w:p>
  </w:endnote>
  <w:endnote w:type="continuationSeparator" w:id="0">
    <w:p w:rsidR="00C3027E" w:rsidRDefault="00C3027E" w:rsidP="001B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A4" w:rsidRPr="001B72A4" w:rsidRDefault="001B72A4" w:rsidP="001B72A4">
    <w:pPr>
      <w:pStyle w:val="Footer"/>
      <w:tabs>
        <w:tab w:val="clear" w:pos="4680"/>
        <w:tab w:val="clear" w:pos="9360"/>
      </w:tabs>
      <w:jc w:val="center"/>
      <w:rPr>
        <w:color w:val="548DD4" w:themeColor="text2" w:themeTint="99"/>
        <w:sz w:val="18"/>
        <w:szCs w:val="18"/>
      </w:rPr>
    </w:pPr>
    <w:r w:rsidRPr="00B377B9">
      <w:rPr>
        <w:color w:val="548DD4" w:themeColor="text2" w:themeTint="99"/>
        <w:sz w:val="18"/>
        <w:szCs w:val="18"/>
      </w:rPr>
      <w:t>P.O. Box 17247, Boulder, CO 80308 | 720.408.5585 | info@nabshc.org | boardingschoolhealing.org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7E" w:rsidRDefault="00C3027E" w:rsidP="001B72A4">
      <w:r>
        <w:separator/>
      </w:r>
    </w:p>
  </w:footnote>
  <w:footnote w:type="continuationSeparator" w:id="0">
    <w:p w:rsidR="00C3027E" w:rsidRDefault="00C3027E" w:rsidP="001B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A4" w:rsidRDefault="001B72A4">
    <w:pPr>
      <w:pStyle w:val="Header"/>
    </w:pPr>
    <w:r>
      <w:rPr>
        <w:noProof/>
      </w:rPr>
      <w:drawing>
        <wp:anchor distT="0" distB="0" distL="114300" distR="114300" simplePos="0" relativeHeight="251659264" behindDoc="1" locked="0" layoutInCell="1" allowOverlap="1" wp14:anchorId="5E95A13E" wp14:editId="2D57AC27">
          <wp:simplePos x="0" y="0"/>
          <wp:positionH relativeFrom="column">
            <wp:posOffset>-295275</wp:posOffset>
          </wp:positionH>
          <wp:positionV relativeFrom="paragraph">
            <wp:posOffset>-346710</wp:posOffset>
          </wp:positionV>
          <wp:extent cx="3874135" cy="1367155"/>
          <wp:effectExtent l="0" t="0" r="0" b="0"/>
          <wp:wrapThrough wrapText="bothSides">
            <wp:wrapPolygon edited="0">
              <wp:start x="0" y="0"/>
              <wp:lineTo x="0" y="21369"/>
              <wp:lineTo x="21455" y="21369"/>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SHC final1b LOGO (00021635x9D7F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4135" cy="13671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2D" w:rsidRDefault="007E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6B3"/>
    <w:multiLevelType w:val="multilevel"/>
    <w:tmpl w:val="6EAA10F6"/>
    <w:lvl w:ilvl="0">
      <w:start w:val="21"/>
      <w:numFmt w:val="upperLetter"/>
      <w:lvlText w:val="%1"/>
      <w:lvlJc w:val="left"/>
      <w:pPr>
        <w:ind w:left="561" w:hanging="454"/>
        <w:jc w:val="left"/>
      </w:pPr>
      <w:rPr>
        <w:rFonts w:hint="default"/>
      </w:rPr>
    </w:lvl>
    <w:lvl w:ilvl="1">
      <w:start w:val="19"/>
      <w:numFmt w:val="upperLetter"/>
      <w:lvlText w:val="%1.%2."/>
      <w:lvlJc w:val="left"/>
      <w:pPr>
        <w:ind w:left="561" w:hanging="454"/>
        <w:jc w:val="left"/>
      </w:pPr>
      <w:rPr>
        <w:rFonts w:ascii="Calibri" w:eastAsia="Calibri" w:hAnsi="Calibri" w:hint="default"/>
        <w:spacing w:val="-1"/>
        <w:w w:val="100"/>
        <w:sz w:val="22"/>
        <w:szCs w:val="22"/>
      </w:rPr>
    </w:lvl>
    <w:lvl w:ilvl="2">
      <w:start w:val="1"/>
      <w:numFmt w:val="bullet"/>
      <w:lvlText w:val=""/>
      <w:lvlJc w:val="left"/>
      <w:pPr>
        <w:ind w:left="968" w:hanging="360"/>
      </w:pPr>
      <w:rPr>
        <w:rFonts w:ascii="Symbol" w:eastAsia="Symbol" w:hAnsi="Symbol" w:hint="default"/>
        <w:w w:val="100"/>
        <w:sz w:val="22"/>
        <w:szCs w:val="22"/>
      </w:rPr>
    </w:lvl>
    <w:lvl w:ilvl="3">
      <w:start w:val="1"/>
      <w:numFmt w:val="bullet"/>
      <w:lvlText w:val="•"/>
      <w:lvlJc w:val="left"/>
      <w:pPr>
        <w:ind w:left="3062" w:hanging="360"/>
      </w:pPr>
      <w:rPr>
        <w:rFonts w:hint="default"/>
      </w:rPr>
    </w:lvl>
    <w:lvl w:ilvl="4">
      <w:start w:val="1"/>
      <w:numFmt w:val="bullet"/>
      <w:lvlText w:val="•"/>
      <w:lvlJc w:val="left"/>
      <w:pPr>
        <w:ind w:left="4113" w:hanging="360"/>
      </w:pPr>
      <w:rPr>
        <w:rFonts w:hint="default"/>
      </w:rPr>
    </w:lvl>
    <w:lvl w:ilvl="5">
      <w:start w:val="1"/>
      <w:numFmt w:val="bullet"/>
      <w:lvlText w:val="•"/>
      <w:lvlJc w:val="left"/>
      <w:pPr>
        <w:ind w:left="5164" w:hanging="360"/>
      </w:pPr>
      <w:rPr>
        <w:rFonts w:hint="default"/>
      </w:rPr>
    </w:lvl>
    <w:lvl w:ilvl="6">
      <w:start w:val="1"/>
      <w:numFmt w:val="bullet"/>
      <w:lvlText w:val="•"/>
      <w:lvlJc w:val="left"/>
      <w:pPr>
        <w:ind w:left="6215" w:hanging="360"/>
      </w:pPr>
      <w:rPr>
        <w:rFonts w:hint="default"/>
      </w:rPr>
    </w:lvl>
    <w:lvl w:ilvl="7">
      <w:start w:val="1"/>
      <w:numFmt w:val="bullet"/>
      <w:lvlText w:val="•"/>
      <w:lvlJc w:val="left"/>
      <w:pPr>
        <w:ind w:left="7266" w:hanging="360"/>
      </w:pPr>
      <w:rPr>
        <w:rFonts w:hint="default"/>
      </w:rPr>
    </w:lvl>
    <w:lvl w:ilvl="8">
      <w:start w:val="1"/>
      <w:numFmt w:val="bullet"/>
      <w:lvlText w:val="•"/>
      <w:lvlJc w:val="left"/>
      <w:pPr>
        <w:ind w:left="8317" w:hanging="360"/>
      </w:pPr>
      <w:rPr>
        <w:rFonts w:hint="default"/>
      </w:rPr>
    </w:lvl>
  </w:abstractNum>
  <w:abstractNum w:abstractNumId="1">
    <w:nsid w:val="39C62E31"/>
    <w:multiLevelType w:val="hybridMultilevel"/>
    <w:tmpl w:val="8BF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41EF4"/>
    <w:multiLevelType w:val="hybridMultilevel"/>
    <w:tmpl w:val="82348866"/>
    <w:lvl w:ilvl="0" w:tplc="3AE23E94">
      <w:start w:val="1"/>
      <w:numFmt w:val="bullet"/>
      <w:lvlText w:val=""/>
      <w:lvlJc w:val="left"/>
      <w:pPr>
        <w:ind w:left="223" w:hanging="138"/>
      </w:pPr>
      <w:rPr>
        <w:rFonts w:ascii="Symbol" w:eastAsia="Symbol" w:hAnsi="Symbol" w:hint="default"/>
        <w:w w:val="99"/>
        <w:sz w:val="20"/>
        <w:szCs w:val="20"/>
      </w:rPr>
    </w:lvl>
    <w:lvl w:ilvl="1" w:tplc="32925DAC">
      <w:start w:val="1"/>
      <w:numFmt w:val="bullet"/>
      <w:lvlText w:val="•"/>
      <w:lvlJc w:val="left"/>
      <w:pPr>
        <w:ind w:left="667" w:hanging="138"/>
      </w:pPr>
      <w:rPr>
        <w:rFonts w:hint="default"/>
      </w:rPr>
    </w:lvl>
    <w:lvl w:ilvl="2" w:tplc="110A2274">
      <w:start w:val="1"/>
      <w:numFmt w:val="bullet"/>
      <w:lvlText w:val="•"/>
      <w:lvlJc w:val="left"/>
      <w:pPr>
        <w:ind w:left="1115" w:hanging="138"/>
      </w:pPr>
      <w:rPr>
        <w:rFonts w:hint="default"/>
      </w:rPr>
    </w:lvl>
    <w:lvl w:ilvl="3" w:tplc="104A5426">
      <w:start w:val="1"/>
      <w:numFmt w:val="bullet"/>
      <w:lvlText w:val="•"/>
      <w:lvlJc w:val="left"/>
      <w:pPr>
        <w:ind w:left="1562" w:hanging="138"/>
      </w:pPr>
      <w:rPr>
        <w:rFonts w:hint="default"/>
      </w:rPr>
    </w:lvl>
    <w:lvl w:ilvl="4" w:tplc="AABA0D20">
      <w:start w:val="1"/>
      <w:numFmt w:val="bullet"/>
      <w:lvlText w:val="•"/>
      <w:lvlJc w:val="left"/>
      <w:pPr>
        <w:ind w:left="2010" w:hanging="138"/>
      </w:pPr>
      <w:rPr>
        <w:rFonts w:hint="default"/>
      </w:rPr>
    </w:lvl>
    <w:lvl w:ilvl="5" w:tplc="BF1AB86C">
      <w:start w:val="1"/>
      <w:numFmt w:val="bullet"/>
      <w:lvlText w:val="•"/>
      <w:lvlJc w:val="left"/>
      <w:pPr>
        <w:ind w:left="2457" w:hanging="138"/>
      </w:pPr>
      <w:rPr>
        <w:rFonts w:hint="default"/>
      </w:rPr>
    </w:lvl>
    <w:lvl w:ilvl="6" w:tplc="80BAEFB2">
      <w:start w:val="1"/>
      <w:numFmt w:val="bullet"/>
      <w:lvlText w:val="•"/>
      <w:lvlJc w:val="left"/>
      <w:pPr>
        <w:ind w:left="2905" w:hanging="138"/>
      </w:pPr>
      <w:rPr>
        <w:rFonts w:hint="default"/>
      </w:rPr>
    </w:lvl>
    <w:lvl w:ilvl="7" w:tplc="04904D78">
      <w:start w:val="1"/>
      <w:numFmt w:val="bullet"/>
      <w:lvlText w:val="•"/>
      <w:lvlJc w:val="left"/>
      <w:pPr>
        <w:ind w:left="3353" w:hanging="138"/>
      </w:pPr>
      <w:rPr>
        <w:rFonts w:hint="default"/>
      </w:rPr>
    </w:lvl>
    <w:lvl w:ilvl="8" w:tplc="51DA73D0">
      <w:start w:val="1"/>
      <w:numFmt w:val="bullet"/>
      <w:lvlText w:val="•"/>
      <w:lvlJc w:val="left"/>
      <w:pPr>
        <w:ind w:left="3800" w:hanging="138"/>
      </w:pPr>
      <w:rPr>
        <w:rFonts w:hint="default"/>
      </w:rPr>
    </w:lvl>
  </w:abstractNum>
  <w:abstractNum w:abstractNumId="3">
    <w:nsid w:val="6D116666"/>
    <w:multiLevelType w:val="hybridMultilevel"/>
    <w:tmpl w:val="4486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F2B23"/>
    <w:rsid w:val="0000363D"/>
    <w:rsid w:val="00102817"/>
    <w:rsid w:val="001B72A4"/>
    <w:rsid w:val="004F2B23"/>
    <w:rsid w:val="007E3C2D"/>
    <w:rsid w:val="00841451"/>
    <w:rsid w:val="00A80FCC"/>
    <w:rsid w:val="00B3476B"/>
    <w:rsid w:val="00B57C0F"/>
    <w:rsid w:val="00C3027E"/>
    <w:rsid w:val="00D10DBA"/>
    <w:rsid w:val="00FC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72A4"/>
    <w:rPr>
      <w:rFonts w:ascii="Tahoma" w:hAnsi="Tahoma" w:cs="Tahoma"/>
      <w:sz w:val="16"/>
      <w:szCs w:val="16"/>
    </w:rPr>
  </w:style>
  <w:style w:type="character" w:customStyle="1" w:styleId="BalloonTextChar">
    <w:name w:val="Balloon Text Char"/>
    <w:basedOn w:val="DefaultParagraphFont"/>
    <w:link w:val="BalloonText"/>
    <w:uiPriority w:val="99"/>
    <w:semiHidden/>
    <w:rsid w:val="001B72A4"/>
    <w:rPr>
      <w:rFonts w:ascii="Tahoma" w:hAnsi="Tahoma" w:cs="Tahoma"/>
      <w:sz w:val="16"/>
      <w:szCs w:val="16"/>
    </w:rPr>
  </w:style>
  <w:style w:type="character" w:styleId="Hyperlink">
    <w:name w:val="Hyperlink"/>
    <w:basedOn w:val="DefaultParagraphFont"/>
    <w:uiPriority w:val="99"/>
    <w:unhideWhenUsed/>
    <w:rsid w:val="001B72A4"/>
    <w:rPr>
      <w:color w:val="0000FF" w:themeColor="hyperlink"/>
      <w:u w:val="single"/>
    </w:rPr>
  </w:style>
  <w:style w:type="paragraph" w:styleId="Header">
    <w:name w:val="header"/>
    <w:basedOn w:val="Normal"/>
    <w:link w:val="HeaderChar"/>
    <w:uiPriority w:val="99"/>
    <w:unhideWhenUsed/>
    <w:rsid w:val="001B72A4"/>
    <w:pPr>
      <w:tabs>
        <w:tab w:val="center" w:pos="4680"/>
        <w:tab w:val="right" w:pos="9360"/>
      </w:tabs>
    </w:pPr>
  </w:style>
  <w:style w:type="character" w:customStyle="1" w:styleId="HeaderChar">
    <w:name w:val="Header Char"/>
    <w:basedOn w:val="DefaultParagraphFont"/>
    <w:link w:val="Header"/>
    <w:uiPriority w:val="99"/>
    <w:rsid w:val="001B72A4"/>
  </w:style>
  <w:style w:type="paragraph" w:styleId="Footer">
    <w:name w:val="footer"/>
    <w:basedOn w:val="Normal"/>
    <w:link w:val="FooterChar"/>
    <w:uiPriority w:val="99"/>
    <w:unhideWhenUsed/>
    <w:rsid w:val="001B72A4"/>
    <w:pPr>
      <w:tabs>
        <w:tab w:val="center" w:pos="4680"/>
        <w:tab w:val="right" w:pos="9360"/>
      </w:tabs>
    </w:pPr>
  </w:style>
  <w:style w:type="character" w:customStyle="1" w:styleId="FooterChar">
    <w:name w:val="Footer Char"/>
    <w:basedOn w:val="DefaultParagraphFont"/>
    <w:link w:val="Footer"/>
    <w:uiPriority w:val="99"/>
    <w:rsid w:val="001B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ardingschoolhealin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Marked version of the one pager from Ruth  (00028484.DOCX;1)</vt:lpstr>
    </vt:vector>
  </TitlesOfParts>
  <Company>Microsoft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Marked version of the one pager from Ruth  (00028484.DOCX;1)</dc:title>
  <dc:subject>00028484v1</dc:subject>
  <dc:creator>Ruth Flower</dc:creator>
  <cp:lastModifiedBy>paula</cp:lastModifiedBy>
  <cp:revision>2</cp:revision>
  <dcterms:created xsi:type="dcterms:W3CDTF">2016-03-16T21:13:00Z</dcterms:created>
  <dcterms:modified xsi:type="dcterms:W3CDTF">2016-03-16T21:13:00Z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2013-12-05T00:00:00Z</vt:filetime>
  </property>
  <property fmtid="{D5CDD505-2E9C-101B-9397-08002B2CF9AE}" pid="3" name="Creator">
    <vt:lpwstr>Microsoft® Word 2010</vt:lpwstr>
  </property>
  <property fmtid="{D5CDD505-2E9C-101B-9397-08002B2CF9AE}" pid="4" name="LastSaved">
    <vt:filetime>2016-03-15T00:00:00Z</vt:filetime>
  </property>
</Properties>
</file>